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5" w:type="dxa"/>
        <w:jc w:val="center"/>
        <w:tblLayout w:type="fixed"/>
        <w:tblCellMar>
          <w:top w:w="15" w:type="dxa"/>
          <w:left w:w="15" w:type="dxa"/>
          <w:bottom w:w="15" w:type="dxa"/>
          <w:right w:w="15" w:type="dxa"/>
        </w:tblCellMar>
        <w:tblLook w:val="04A0" w:firstRow="1" w:lastRow="0" w:firstColumn="1" w:lastColumn="0" w:noHBand="0" w:noVBand="1"/>
      </w:tblPr>
      <w:tblGrid>
        <w:gridCol w:w="9435"/>
      </w:tblGrid>
      <w:tr w:rsidR="00581D07" w:rsidRPr="00774E11" w14:paraId="3A19AAA5" w14:textId="77777777" w:rsidTr="00B8026D">
        <w:trPr>
          <w:jc w:val="center"/>
        </w:trPr>
        <w:tc>
          <w:tcPr>
            <w:tcW w:w="9435" w:type="dxa"/>
            <w:tcBorders>
              <w:top w:val="single" w:sz="48" w:space="0" w:color="BFBFBF"/>
              <w:left w:val="single" w:sz="48" w:space="0" w:color="BFBFBF"/>
              <w:bottom w:val="nil"/>
              <w:right w:val="single" w:sz="48" w:space="0" w:color="BFBFBF"/>
            </w:tcBorders>
            <w:shd w:val="clear" w:color="auto" w:fill="FFFFFF"/>
            <w:tcMar>
              <w:top w:w="480" w:type="dxa"/>
              <w:left w:w="330" w:type="dxa"/>
              <w:bottom w:w="210" w:type="dxa"/>
              <w:right w:w="330" w:type="dxa"/>
            </w:tcMar>
            <w:vAlign w:val="bottom"/>
            <w:hideMark/>
          </w:tcPr>
          <w:p w14:paraId="3879F786" w14:textId="24D372D8" w:rsidR="00581D07" w:rsidRPr="003B54C7" w:rsidRDefault="00557839" w:rsidP="003651FA">
            <w:pPr>
              <w:spacing w:after="0" w:line="240" w:lineRule="auto"/>
              <w:jc w:val="center"/>
              <w:outlineLvl w:val="0"/>
              <w:rPr>
                <w:rFonts w:ascii="Arial" w:eastAsia="Times New Roman" w:hAnsi="Arial" w:cs="Arial"/>
                <w:kern w:val="36"/>
                <w:sz w:val="48"/>
                <w:szCs w:val="48"/>
                <w:lang w:eastAsia="en-GB"/>
              </w:rPr>
            </w:pPr>
            <w:r>
              <w:rPr>
                <w:rFonts w:ascii="Arial" w:eastAsia="Times New Roman" w:hAnsi="Arial" w:cs="Arial"/>
                <w:kern w:val="36"/>
                <w:sz w:val="48"/>
                <w:szCs w:val="48"/>
                <w:lang w:eastAsia="en-GB"/>
              </w:rPr>
              <w:t>Demilitarise Uni of Leicester</w:t>
            </w:r>
          </w:p>
        </w:tc>
      </w:tr>
      <w:tr w:rsidR="00581D07" w:rsidRPr="00774E11" w14:paraId="596F9340" w14:textId="77777777" w:rsidTr="00B8026D">
        <w:trPr>
          <w:jc w:val="center"/>
        </w:trPr>
        <w:tc>
          <w:tcPr>
            <w:tcW w:w="9435" w:type="dxa"/>
            <w:tcBorders>
              <w:top w:val="nil"/>
              <w:left w:val="single" w:sz="48" w:space="0" w:color="BFBFBF"/>
              <w:bottom w:val="single" w:sz="48" w:space="0" w:color="BFBFBF"/>
              <w:right w:val="single" w:sz="48" w:space="0" w:color="BFBFBF"/>
            </w:tcBorders>
            <w:shd w:val="clear" w:color="auto" w:fill="FFFFFF"/>
            <w:tcMar>
              <w:top w:w="0" w:type="dxa"/>
              <w:left w:w="0" w:type="dxa"/>
              <w:bottom w:w="0" w:type="dxa"/>
              <w:right w:w="0" w:type="dxa"/>
            </w:tcMar>
            <w:hideMark/>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715"/>
              <w:gridCol w:w="6587"/>
            </w:tblGrid>
            <w:tr w:rsidR="00E67355" w:rsidRPr="003B54C7" w14:paraId="6F7D0BA8" w14:textId="77777777" w:rsidTr="00B8026D">
              <w:trPr>
                <w:trHeight w:val="290"/>
              </w:trPr>
              <w:tc>
                <w:tcPr>
                  <w:tcW w:w="9302" w:type="dxa"/>
                  <w:gridSpan w:val="2"/>
                  <w:tcBorders>
                    <w:top w:val="nil"/>
                    <w:left w:val="nil"/>
                    <w:bottom w:val="single" w:sz="18" w:space="0" w:color="7F7F7F"/>
                    <w:right w:val="nil"/>
                  </w:tcBorders>
                  <w:tcMar>
                    <w:top w:w="60" w:type="dxa"/>
                    <w:left w:w="330" w:type="dxa"/>
                    <w:bottom w:w="60" w:type="dxa"/>
                    <w:right w:w="330" w:type="dxa"/>
                  </w:tcMar>
                  <w:vAlign w:val="center"/>
                  <w:hideMark/>
                </w:tcPr>
                <w:p w14:paraId="05B4430D" w14:textId="20EB64F4" w:rsidR="00581D07" w:rsidRPr="003B54C7" w:rsidRDefault="00557839" w:rsidP="00B8026D">
                  <w:pPr>
                    <w:spacing w:after="0" w:line="240" w:lineRule="auto"/>
                    <w:jc w:val="center"/>
                    <w:outlineLvl w:val="2"/>
                    <w:rPr>
                      <w:rFonts w:ascii="Arial" w:eastAsia="Times New Roman" w:hAnsi="Arial" w:cs="Arial"/>
                      <w:caps/>
                      <w:sz w:val="24"/>
                      <w:szCs w:val="24"/>
                      <w:lang w:eastAsia="en-GB"/>
                    </w:rPr>
                  </w:pPr>
                  <w:r>
                    <w:rPr>
                      <w:rFonts w:ascii="Arial" w:eastAsia="Times New Roman" w:hAnsi="Arial" w:cs="Arial"/>
                      <w:caps/>
                      <w:sz w:val="24"/>
                      <w:szCs w:val="24"/>
                      <w:lang w:eastAsia="en-GB"/>
                    </w:rPr>
                    <w:t>Ethan Cross</w:t>
                  </w:r>
                </w:p>
              </w:tc>
            </w:tr>
            <w:tr w:rsidR="00E67355" w:rsidRPr="003B54C7" w14:paraId="3B025C9A" w14:textId="77777777" w:rsidTr="006A0D6D">
              <w:trPr>
                <w:trHeight w:val="2047"/>
              </w:trPr>
              <w:tc>
                <w:tcPr>
                  <w:tcW w:w="2715" w:type="dxa"/>
                  <w:tcBorders>
                    <w:top w:val="single" w:sz="18" w:space="0" w:color="7F7F7F"/>
                    <w:left w:val="single" w:sz="18" w:space="0" w:color="7F7F7F"/>
                    <w:bottom w:val="single" w:sz="18" w:space="0" w:color="7F7F7F"/>
                    <w:right w:val="single" w:sz="18" w:space="0" w:color="7F7F7F"/>
                  </w:tcBorders>
                  <w:tcMar>
                    <w:top w:w="60" w:type="dxa"/>
                    <w:left w:w="330" w:type="dxa"/>
                    <w:bottom w:w="60" w:type="dxa"/>
                    <w:right w:w="75" w:type="dxa"/>
                  </w:tcMar>
                  <w:hideMark/>
                </w:tcPr>
                <w:p w14:paraId="2B35263E" w14:textId="50EAE772" w:rsidR="00581D07" w:rsidRPr="003B54C7" w:rsidRDefault="00581D07" w:rsidP="00B8026D">
                  <w:pPr>
                    <w:spacing w:after="0" w:line="240" w:lineRule="auto"/>
                    <w:outlineLvl w:val="3"/>
                    <w:rPr>
                      <w:rFonts w:ascii="Arial" w:eastAsia="Times New Roman" w:hAnsi="Arial" w:cs="Arial"/>
                      <w:i/>
                      <w:iCs/>
                      <w:sz w:val="20"/>
                      <w:szCs w:val="20"/>
                      <w:lang w:eastAsia="en-GB"/>
                    </w:rPr>
                  </w:pPr>
                  <w:r w:rsidRPr="003B54C7">
                    <w:rPr>
                      <w:rFonts w:ascii="Arial" w:eastAsia="Times New Roman" w:hAnsi="Arial" w:cs="Arial"/>
                      <w:b/>
                      <w:bCs/>
                      <w:i/>
                      <w:iCs/>
                      <w:sz w:val="24"/>
                      <w:szCs w:val="24"/>
                      <w:lang w:eastAsia="en-GB"/>
                    </w:rPr>
                    <w:t>Overview</w:t>
                  </w:r>
                  <w:r w:rsidRPr="003B54C7">
                    <w:rPr>
                      <w:rFonts w:ascii="Arial" w:eastAsia="Times New Roman" w:hAnsi="Arial" w:cs="Arial"/>
                      <w:i/>
                      <w:iCs/>
                      <w:sz w:val="20"/>
                      <w:szCs w:val="20"/>
                      <w:lang w:eastAsia="en-GB"/>
                    </w:rPr>
                    <w:t xml:space="preserve"> </w:t>
                  </w:r>
                </w:p>
              </w:tc>
              <w:tc>
                <w:tcPr>
                  <w:tcW w:w="6587" w:type="dxa"/>
                  <w:tcBorders>
                    <w:top w:val="single" w:sz="18" w:space="0" w:color="7F7F7F"/>
                    <w:left w:val="single" w:sz="18" w:space="0" w:color="7F7F7F"/>
                    <w:bottom w:val="single" w:sz="18" w:space="0" w:color="7F7F7F"/>
                    <w:right w:val="single" w:sz="18" w:space="0" w:color="7F7F7F"/>
                  </w:tcBorders>
                  <w:tcMar>
                    <w:top w:w="60" w:type="dxa"/>
                    <w:left w:w="75" w:type="dxa"/>
                    <w:bottom w:w="60" w:type="dxa"/>
                    <w:right w:w="330" w:type="dxa"/>
                  </w:tcMar>
                  <w:hideMark/>
                </w:tcPr>
                <w:p w14:paraId="38362DFB" w14:textId="77777777" w:rsidR="00F8564A" w:rsidRDefault="00334B9F" w:rsidP="006A0D6D">
                  <w:pPr>
                    <w:rPr>
                      <w:rFonts w:ascii="Arial" w:eastAsia="Times New Roman" w:hAnsi="Arial" w:cs="Arial"/>
                      <w:sz w:val="24"/>
                      <w:szCs w:val="24"/>
                      <w:lang w:eastAsia="en-GB"/>
                    </w:rPr>
                  </w:pPr>
                  <w:r w:rsidRPr="003B54C7">
                    <w:rPr>
                      <w:rFonts w:ascii="Arial" w:eastAsia="Times New Roman" w:hAnsi="Arial" w:cs="Arial"/>
                      <w:sz w:val="24"/>
                      <w:szCs w:val="24"/>
                      <w:lang w:eastAsia="en-GB"/>
                    </w:rPr>
                    <w:t xml:space="preserve">    </w:t>
                  </w:r>
                  <w:r w:rsidR="00557839">
                    <w:rPr>
                      <w:rFonts w:ascii="Arial" w:eastAsia="Times New Roman" w:hAnsi="Arial" w:cs="Arial"/>
                      <w:sz w:val="24"/>
                      <w:szCs w:val="24"/>
                      <w:lang w:eastAsia="en-GB"/>
                    </w:rPr>
                    <w:t>Currently, The University of Leicester holds millions of pounds worth of research and enterprise partnerships with companies that produce armaments used to kill innocent civilians globally. This includes a</w:t>
                  </w:r>
                  <w:r w:rsidR="00626346">
                    <w:rPr>
                      <w:rFonts w:ascii="Arial" w:eastAsia="Times New Roman" w:hAnsi="Arial" w:cs="Arial"/>
                      <w:sz w:val="24"/>
                      <w:szCs w:val="24"/>
                      <w:lang w:eastAsia="en-GB"/>
                    </w:rPr>
                    <w:t>n approximately</w:t>
                  </w:r>
                  <w:r w:rsidR="00557839">
                    <w:rPr>
                      <w:rFonts w:ascii="Arial" w:eastAsia="Times New Roman" w:hAnsi="Arial" w:cs="Arial"/>
                      <w:sz w:val="24"/>
                      <w:szCs w:val="24"/>
                      <w:lang w:eastAsia="en-GB"/>
                    </w:rPr>
                    <w:t xml:space="preserve"> </w:t>
                  </w:r>
                  <w:r w:rsidR="00F8564A">
                    <w:rPr>
                      <w:rFonts w:ascii="Arial" w:eastAsia="Times New Roman" w:hAnsi="Arial" w:cs="Arial"/>
                      <w:sz w:val="24"/>
                      <w:szCs w:val="24"/>
                      <w:lang w:eastAsia="en-GB"/>
                    </w:rPr>
                    <w:t>seven</w:t>
                  </w:r>
                  <w:r w:rsidR="00557839">
                    <w:rPr>
                      <w:rFonts w:ascii="Arial" w:eastAsia="Times New Roman" w:hAnsi="Arial" w:cs="Arial"/>
                      <w:sz w:val="24"/>
                      <w:szCs w:val="24"/>
                      <w:lang w:eastAsia="en-GB"/>
                    </w:rPr>
                    <w:t xml:space="preserve"> and a half million-pound research deal through the school of engineering split between Rolls Royce, QinetiQ, AWE and other companies, as well as partnerships through Space Park Leicester with Rolls Royce, Thales, Leonardo, Airbus etc.</w:t>
                  </w:r>
                </w:p>
                <w:p w14:paraId="3108D5E4" w14:textId="3EE0E97A" w:rsidR="003B148D" w:rsidRPr="003B54C7" w:rsidRDefault="00F8564A" w:rsidP="006A0D6D">
                  <w:pPr>
                    <w:rPr>
                      <w:rFonts w:ascii="Arial" w:eastAsia="Times New Roman" w:hAnsi="Arial" w:cs="Arial"/>
                      <w:lang w:eastAsia="en-GB"/>
                    </w:rPr>
                  </w:pPr>
                  <w:r>
                    <w:rPr>
                      <w:rFonts w:ascii="Arial" w:eastAsia="Times New Roman" w:hAnsi="Arial" w:cs="Arial"/>
                      <w:sz w:val="24"/>
                      <w:szCs w:val="24"/>
                      <w:lang w:eastAsia="en-GB"/>
                    </w:rPr>
                    <w:t>T</w:t>
                  </w:r>
                  <w:r w:rsidR="00557839">
                    <w:rPr>
                      <w:rFonts w:ascii="Arial" w:eastAsia="Times New Roman" w:hAnsi="Arial" w:cs="Arial"/>
                      <w:sz w:val="24"/>
                      <w:szCs w:val="24"/>
                      <w:lang w:eastAsia="en-GB"/>
                    </w:rPr>
                    <w:t xml:space="preserve">hese companies have worked to help produce parts </w:t>
                  </w:r>
                  <w:r>
                    <w:rPr>
                      <w:rFonts w:ascii="Arial" w:eastAsia="Times New Roman" w:hAnsi="Arial" w:cs="Arial"/>
                      <w:sz w:val="24"/>
                      <w:szCs w:val="24"/>
                      <w:lang w:eastAsia="en-GB"/>
                    </w:rPr>
                    <w:t>for</w:t>
                  </w:r>
                  <w:r w:rsidR="00557839">
                    <w:rPr>
                      <w:rFonts w:ascii="Arial" w:eastAsia="Times New Roman" w:hAnsi="Arial" w:cs="Arial"/>
                      <w:sz w:val="24"/>
                      <w:szCs w:val="24"/>
                      <w:lang w:eastAsia="en-GB"/>
                    </w:rPr>
                    <w:t xml:space="preserve"> the F-35 fighter jets that have been used to kill an estimated 180,000 people in Gaza</w:t>
                  </w:r>
                  <w:r w:rsidR="00711FB7">
                    <w:rPr>
                      <w:rFonts w:ascii="Arial" w:eastAsia="Times New Roman" w:hAnsi="Arial" w:cs="Arial"/>
                      <w:sz w:val="24"/>
                      <w:szCs w:val="24"/>
                      <w:lang w:eastAsia="en-GB"/>
                    </w:rPr>
                    <w:t xml:space="preserve"> since October 2023</w:t>
                  </w:r>
                  <w:r w:rsidR="00557839">
                    <w:rPr>
                      <w:rFonts w:ascii="Arial" w:eastAsia="Times New Roman" w:hAnsi="Arial" w:cs="Arial"/>
                      <w:sz w:val="24"/>
                      <w:szCs w:val="24"/>
                      <w:lang w:eastAsia="en-GB"/>
                    </w:rPr>
                    <w:t xml:space="preserve"> in what the ICJ has already ruled to be a plausible genocide. By supplying militaries such as the IDF these companies are supporting what the ICC has ruled to be an apartheid system and </w:t>
                  </w:r>
                  <w:r w:rsidR="00343969">
                    <w:rPr>
                      <w:rFonts w:ascii="Arial" w:eastAsia="Times New Roman" w:hAnsi="Arial" w:cs="Arial"/>
                      <w:sz w:val="24"/>
                      <w:szCs w:val="24"/>
                      <w:lang w:eastAsia="en-GB"/>
                    </w:rPr>
                    <w:t xml:space="preserve">alleged </w:t>
                  </w:r>
                  <w:r w:rsidR="00557839">
                    <w:rPr>
                      <w:rFonts w:ascii="Arial" w:eastAsia="Times New Roman" w:hAnsi="Arial" w:cs="Arial"/>
                      <w:sz w:val="24"/>
                      <w:szCs w:val="24"/>
                      <w:lang w:eastAsia="en-GB"/>
                    </w:rPr>
                    <w:t xml:space="preserve">war crimes as shown by the arrest warrants issued for the Israeli prime </w:t>
                  </w:r>
                  <w:r w:rsidR="00626346">
                    <w:rPr>
                      <w:rFonts w:ascii="Arial" w:eastAsia="Times New Roman" w:hAnsi="Arial" w:cs="Arial"/>
                      <w:sz w:val="24"/>
                      <w:szCs w:val="24"/>
                      <w:lang w:eastAsia="en-GB"/>
                    </w:rPr>
                    <w:t>M</w:t>
                  </w:r>
                  <w:r w:rsidR="00557839">
                    <w:rPr>
                      <w:rFonts w:ascii="Arial" w:eastAsia="Times New Roman" w:hAnsi="Arial" w:cs="Arial"/>
                      <w:sz w:val="24"/>
                      <w:szCs w:val="24"/>
                      <w:lang w:eastAsia="en-GB"/>
                    </w:rPr>
                    <w:t xml:space="preserve">inister. </w:t>
                  </w:r>
                  <w:r w:rsidR="00626346">
                    <w:rPr>
                      <w:rFonts w:ascii="Arial" w:eastAsia="Times New Roman" w:hAnsi="Arial" w:cs="Arial"/>
                      <w:sz w:val="24"/>
                      <w:szCs w:val="24"/>
                      <w:lang w:eastAsia="en-GB"/>
                    </w:rPr>
                    <w:t>Thus, the University of Leicester should not be working with these companies. Although largely the research being done by academics in this university is not arms based, it has been shown by several research papers published by Demilitarise Education that any space or environmental research is routinely implemented in the field of armaments if being endorsed by defence companies. Through their careers system</w:t>
                  </w:r>
                  <w:r w:rsidR="00FE3A1D">
                    <w:rPr>
                      <w:rFonts w:ascii="Arial" w:eastAsia="Times New Roman" w:hAnsi="Arial" w:cs="Arial"/>
                      <w:sz w:val="24"/>
                      <w:szCs w:val="24"/>
                      <w:lang w:eastAsia="en-GB"/>
                    </w:rPr>
                    <w:t>,</w:t>
                  </w:r>
                  <w:r w:rsidR="00626346">
                    <w:rPr>
                      <w:rFonts w:ascii="Arial" w:eastAsia="Times New Roman" w:hAnsi="Arial" w:cs="Arial"/>
                      <w:sz w:val="24"/>
                      <w:szCs w:val="24"/>
                      <w:lang w:eastAsia="en-GB"/>
                    </w:rPr>
                    <w:t xml:space="preserve"> the University works to promote and normalise what these companies do</w:t>
                  </w:r>
                  <w:r>
                    <w:rPr>
                      <w:rFonts w:ascii="Arial" w:eastAsia="Times New Roman" w:hAnsi="Arial" w:cs="Arial"/>
                      <w:sz w:val="24"/>
                      <w:szCs w:val="24"/>
                      <w:lang w:eastAsia="en-GB"/>
                    </w:rPr>
                    <w:t xml:space="preserve"> by</w:t>
                  </w:r>
                  <w:r w:rsidR="00626346">
                    <w:rPr>
                      <w:rFonts w:ascii="Arial" w:eastAsia="Times New Roman" w:hAnsi="Arial" w:cs="Arial"/>
                      <w:sz w:val="24"/>
                      <w:szCs w:val="24"/>
                      <w:lang w:eastAsia="en-GB"/>
                    </w:rPr>
                    <w:t xml:space="preserve"> funnelling students into working for defence companies and thus supporting a cycle of violence that has killed millions of innocent people. This </w:t>
                  </w:r>
                  <w:r>
                    <w:rPr>
                      <w:rFonts w:ascii="Arial" w:eastAsia="Times New Roman" w:hAnsi="Arial" w:cs="Arial"/>
                      <w:sz w:val="24"/>
                      <w:szCs w:val="24"/>
                      <w:lang w:eastAsia="en-GB"/>
                    </w:rPr>
                    <w:t>proposal</w:t>
                  </w:r>
                  <w:r w:rsidR="00626346">
                    <w:rPr>
                      <w:rFonts w:ascii="Arial" w:eastAsia="Times New Roman" w:hAnsi="Arial" w:cs="Arial"/>
                      <w:sz w:val="24"/>
                      <w:szCs w:val="24"/>
                      <w:lang w:eastAsia="en-GB"/>
                    </w:rPr>
                    <w:t xml:space="preserve"> aims to use the power at the Student Union’s disposal to pressure the University into cutting ties with these companies and replacing them with companies working for the benefit of humanity.</w:t>
                  </w:r>
                  <w:r w:rsidR="00711FB7">
                    <w:rPr>
                      <w:rFonts w:ascii="Arial" w:eastAsia="Times New Roman" w:hAnsi="Arial" w:cs="Arial"/>
                      <w:sz w:val="24"/>
                      <w:szCs w:val="24"/>
                      <w:lang w:eastAsia="en-GB"/>
                    </w:rPr>
                    <w:t xml:space="preserve"> This would include banning these companies from careers fairs and cutting contracts with these companies </w:t>
                  </w:r>
                  <w:r w:rsidR="00343969">
                    <w:rPr>
                      <w:rFonts w:ascii="Arial" w:eastAsia="Times New Roman" w:hAnsi="Arial" w:cs="Arial"/>
                      <w:sz w:val="24"/>
                      <w:szCs w:val="24"/>
                      <w:lang w:eastAsia="en-GB"/>
                    </w:rPr>
                    <w:t>as soon as these contracts expire.</w:t>
                  </w:r>
                </w:p>
              </w:tc>
            </w:tr>
            <w:tr w:rsidR="00E67355" w:rsidRPr="003B54C7" w14:paraId="350B50A8" w14:textId="77777777" w:rsidTr="006A0D6D">
              <w:trPr>
                <w:trHeight w:val="2492"/>
              </w:trPr>
              <w:tc>
                <w:tcPr>
                  <w:tcW w:w="2715" w:type="dxa"/>
                  <w:tcBorders>
                    <w:top w:val="single" w:sz="18" w:space="0" w:color="7F7F7F"/>
                    <w:left w:val="single" w:sz="18" w:space="0" w:color="7F7F7F"/>
                    <w:bottom w:val="single" w:sz="18" w:space="0" w:color="7F7F7F"/>
                    <w:right w:val="single" w:sz="18" w:space="0" w:color="7F7F7F"/>
                  </w:tcBorders>
                  <w:tcMar>
                    <w:top w:w="60" w:type="dxa"/>
                    <w:left w:w="330" w:type="dxa"/>
                    <w:bottom w:w="60" w:type="dxa"/>
                    <w:right w:w="75" w:type="dxa"/>
                  </w:tcMar>
                  <w:hideMark/>
                </w:tcPr>
                <w:p w14:paraId="64A75270" w14:textId="77777777" w:rsidR="00581D07" w:rsidRPr="003B54C7" w:rsidRDefault="00581D07" w:rsidP="00B8026D">
                  <w:pPr>
                    <w:spacing w:after="0" w:line="240" w:lineRule="auto"/>
                    <w:outlineLvl w:val="3"/>
                    <w:rPr>
                      <w:rFonts w:ascii="Arial" w:eastAsia="Times New Roman" w:hAnsi="Arial" w:cs="Arial"/>
                      <w:b/>
                      <w:bCs/>
                      <w:i/>
                      <w:iCs/>
                      <w:sz w:val="24"/>
                      <w:szCs w:val="24"/>
                      <w:lang w:eastAsia="en-GB"/>
                    </w:rPr>
                  </w:pPr>
                  <w:r w:rsidRPr="003B54C7">
                    <w:rPr>
                      <w:rFonts w:ascii="Arial" w:eastAsia="Times New Roman" w:hAnsi="Arial" w:cs="Arial"/>
                      <w:b/>
                      <w:bCs/>
                      <w:i/>
                      <w:iCs/>
                      <w:sz w:val="24"/>
                      <w:szCs w:val="24"/>
                      <w:lang w:eastAsia="en-GB"/>
                    </w:rPr>
                    <w:lastRenderedPageBreak/>
                    <w:t>Facts</w:t>
                  </w:r>
                </w:p>
                <w:p w14:paraId="0212925F" w14:textId="5EBDE50B" w:rsidR="00581D07" w:rsidRPr="003B54C7" w:rsidRDefault="00581D07" w:rsidP="00B8026D">
                  <w:pPr>
                    <w:spacing w:after="0" w:line="240" w:lineRule="auto"/>
                    <w:outlineLvl w:val="3"/>
                    <w:rPr>
                      <w:rFonts w:ascii="Arial" w:eastAsia="Times New Roman" w:hAnsi="Arial" w:cs="Arial"/>
                      <w:i/>
                      <w:iCs/>
                      <w:sz w:val="20"/>
                      <w:szCs w:val="20"/>
                      <w:lang w:eastAsia="en-GB"/>
                    </w:rPr>
                  </w:pPr>
                </w:p>
              </w:tc>
              <w:tc>
                <w:tcPr>
                  <w:tcW w:w="6587" w:type="dxa"/>
                  <w:tcBorders>
                    <w:top w:val="single" w:sz="18" w:space="0" w:color="7F7F7F"/>
                    <w:left w:val="single" w:sz="18" w:space="0" w:color="7F7F7F"/>
                    <w:bottom w:val="single" w:sz="18" w:space="0" w:color="7F7F7F"/>
                    <w:right w:val="single" w:sz="18" w:space="0" w:color="7F7F7F"/>
                  </w:tcBorders>
                  <w:tcMar>
                    <w:top w:w="60" w:type="dxa"/>
                    <w:left w:w="75" w:type="dxa"/>
                    <w:bottom w:w="60" w:type="dxa"/>
                    <w:right w:w="330" w:type="dxa"/>
                  </w:tcMar>
                  <w:hideMark/>
                </w:tcPr>
                <w:p w14:paraId="4276206E" w14:textId="77777777" w:rsidR="00CB3027" w:rsidRDefault="00711FB7" w:rsidP="00711FB7">
                  <w:pPr>
                    <w:pStyle w:val="ListParagraph"/>
                    <w:numPr>
                      <w:ilvl w:val="0"/>
                      <w:numId w:val="14"/>
                    </w:numPr>
                    <w:rPr>
                      <w:rFonts w:ascii="Arial" w:hAnsi="Arial" w:cs="Arial"/>
                    </w:rPr>
                  </w:pPr>
                  <w:r>
                    <w:rPr>
                      <w:rFonts w:ascii="Arial" w:hAnsi="Arial" w:cs="Arial"/>
                    </w:rPr>
                    <w:t xml:space="preserve">Listed on Space Park Leicester’s website, on a page called “Research and Enterprise Partners”, are the companies Rolls Royce, Airbus, </w:t>
                  </w:r>
                  <w:r w:rsidR="002675E0">
                    <w:rPr>
                      <w:rFonts w:ascii="Arial" w:hAnsi="Arial" w:cs="Arial"/>
                    </w:rPr>
                    <w:t xml:space="preserve">Telespazio (a Leonardo and Thales joint project), and Thales Alenia (A Thales subsidiary) all of which have been shown to be supplying the Israeli military. </w:t>
                  </w:r>
                  <w:hyperlink r:id="rId5" w:history="1">
                    <w:r w:rsidR="002675E0" w:rsidRPr="002675E0">
                      <w:rPr>
                        <w:rStyle w:val="Hyperlink"/>
                        <w:rFonts w:ascii="Arial" w:hAnsi="Arial" w:cs="Arial"/>
                      </w:rPr>
                      <w:t>https://caat.org.uk/data/countries/israel/mapped-all-the-uk-companies-manufacturing-components-for-israels-f35-combat-aircraft/</w:t>
                    </w:r>
                  </w:hyperlink>
                </w:p>
                <w:p w14:paraId="65269CDB" w14:textId="77777777" w:rsidR="003705F3" w:rsidRDefault="002675E0" w:rsidP="003705F3">
                  <w:pPr>
                    <w:pStyle w:val="ListParagraph"/>
                    <w:numPr>
                      <w:ilvl w:val="0"/>
                      <w:numId w:val="14"/>
                    </w:numPr>
                    <w:rPr>
                      <w:rFonts w:ascii="Arial" w:hAnsi="Arial" w:cs="Arial"/>
                    </w:rPr>
                  </w:pPr>
                  <w:r>
                    <w:rPr>
                      <w:rFonts w:ascii="Arial" w:hAnsi="Arial" w:cs="Arial"/>
                    </w:rPr>
                    <w:t>“</w:t>
                  </w:r>
                  <w:r w:rsidRPr="002675E0">
                    <w:rPr>
                      <w:rFonts w:ascii="Arial" w:hAnsi="Arial" w:cs="Arial"/>
                    </w:rPr>
                    <w:t>The ICJ found it plausible that Israel’s acts could amount to genocide and issued six provisional measures, ordering Israel to take all measures within its power to prevent genocidal acts, including preventing and punishing incitement to genocide, ensuring aid and services reach Palestinians under siege in Gaza, and preserving evidence of crimes committed in Gaza.</w:t>
                  </w:r>
                  <w:r>
                    <w:rPr>
                      <w:rFonts w:ascii="Arial" w:hAnsi="Arial" w:cs="Arial"/>
                    </w:rPr>
                    <w:t>”</w:t>
                  </w:r>
                  <w:r w:rsidR="003705F3">
                    <w:rPr>
                      <w:rFonts w:ascii="Arial" w:hAnsi="Arial" w:cs="Arial"/>
                    </w:rPr>
                    <w:t xml:space="preserve"> </w:t>
                  </w:r>
                  <w:hyperlink r:id="rId6" w:anchor=":~:text=The%20ICJ%20found%20it%20plausible%20that%20Israel%E2%80%99s%20acts,and%20preserving%20evidence%20of%20crimes%20committed%20in%20Gaza." w:history="1">
                    <w:r w:rsidR="003705F3" w:rsidRPr="003705F3">
                      <w:rPr>
                        <w:rStyle w:val="Hyperlink"/>
                        <w:rFonts w:ascii="Arial" w:hAnsi="Arial" w:cs="Arial"/>
                      </w:rPr>
                      <w:t>Gaza: ICJ ruling offers hope for protection of civilians enduring apocalyptic conditions, say UN experts | OHCHR</w:t>
                    </w:r>
                  </w:hyperlink>
                  <w:r w:rsidR="003705F3">
                    <w:rPr>
                      <w:rFonts w:ascii="Arial" w:hAnsi="Arial" w:cs="Arial"/>
                    </w:rPr>
                    <w:t xml:space="preserve"> </w:t>
                  </w:r>
                </w:p>
                <w:p w14:paraId="62A7895C" w14:textId="0CC7B991" w:rsidR="002675E0" w:rsidRDefault="003705F3" w:rsidP="003705F3">
                  <w:pPr>
                    <w:pStyle w:val="ListParagraph"/>
                    <w:rPr>
                      <w:rFonts w:ascii="Arial" w:hAnsi="Arial" w:cs="Arial"/>
                    </w:rPr>
                  </w:pPr>
                  <w:proofErr w:type="gramStart"/>
                  <w:r w:rsidRPr="003705F3">
                    <w:rPr>
                      <w:rFonts w:ascii="Arial" w:hAnsi="Arial" w:cs="Arial"/>
                    </w:rPr>
                    <w:t>Thus</w:t>
                  </w:r>
                  <w:proofErr w:type="gramEnd"/>
                  <w:r w:rsidRPr="003705F3">
                    <w:rPr>
                      <w:rFonts w:ascii="Arial" w:hAnsi="Arial" w:cs="Arial"/>
                    </w:rPr>
                    <w:t xml:space="preserve"> by extension these companies are providing the weapons for a plausible genocide.</w:t>
                  </w:r>
                </w:p>
                <w:p w14:paraId="19ED0E12" w14:textId="77777777" w:rsidR="003705F3" w:rsidRDefault="003705F3" w:rsidP="003705F3">
                  <w:pPr>
                    <w:pStyle w:val="ListParagraph"/>
                    <w:numPr>
                      <w:ilvl w:val="0"/>
                      <w:numId w:val="14"/>
                    </w:numPr>
                    <w:rPr>
                      <w:rFonts w:ascii="Arial" w:hAnsi="Arial" w:cs="Arial"/>
                    </w:rPr>
                  </w:pPr>
                  <w:r w:rsidRPr="003705F3">
                    <w:rPr>
                      <w:rFonts w:ascii="Arial" w:hAnsi="Arial" w:cs="Arial"/>
                    </w:rPr>
                    <w:t>"In a historic ruling the International Court of Justice has found multiple and serious international law violations by Israel towards Palestinians in the Occupied Palestinian Territory, including, for the first time, finding Israel responsible for apartheid"</w:t>
                  </w:r>
                  <w:r>
                    <w:rPr>
                      <w:rFonts w:ascii="Arial" w:hAnsi="Arial" w:cs="Arial"/>
                    </w:rPr>
                    <w:t xml:space="preserve"> – Tirana Hassan, Executive Director of Human Rights Watch on the advisory opinion issued by the ICJ on July 19 2024</w:t>
                  </w:r>
                  <w:r w:rsidR="000041BB">
                    <w:rPr>
                      <w:rFonts w:ascii="Arial" w:hAnsi="Arial" w:cs="Arial"/>
                    </w:rPr>
                    <w:t xml:space="preserve">. </w:t>
                  </w:r>
                  <w:proofErr w:type="gramStart"/>
                  <w:r w:rsidR="000041BB">
                    <w:rPr>
                      <w:rFonts w:ascii="Arial" w:hAnsi="Arial" w:cs="Arial"/>
                    </w:rPr>
                    <w:t>Thus</w:t>
                  </w:r>
                  <w:proofErr w:type="gramEnd"/>
                  <w:r w:rsidR="000041BB">
                    <w:rPr>
                      <w:rFonts w:ascii="Arial" w:hAnsi="Arial" w:cs="Arial"/>
                    </w:rPr>
                    <w:t xml:space="preserve"> by extension these companies are arming an apartheid regime.</w:t>
                  </w:r>
                </w:p>
                <w:p w14:paraId="17369A5D" w14:textId="77777777" w:rsidR="000041BB" w:rsidRDefault="000041BB" w:rsidP="003705F3">
                  <w:pPr>
                    <w:pStyle w:val="ListParagraph"/>
                    <w:numPr>
                      <w:ilvl w:val="0"/>
                      <w:numId w:val="14"/>
                    </w:numPr>
                    <w:rPr>
                      <w:rFonts w:ascii="Arial" w:hAnsi="Arial" w:cs="Arial"/>
                    </w:rPr>
                  </w:pPr>
                  <w:r>
                    <w:rPr>
                      <w:rFonts w:ascii="Arial" w:hAnsi="Arial" w:cs="Arial"/>
                    </w:rPr>
                    <w:t xml:space="preserve">According to a paper published in the Lancet Medical Journal, a conservative estimate for the number of fatalities in Gaza would be 186,000 people. Of which, based on population demographics </w:t>
                  </w:r>
                  <w:r w:rsidR="00E52858">
                    <w:rPr>
                      <w:rFonts w:ascii="Arial" w:hAnsi="Arial" w:cs="Arial"/>
                    </w:rPr>
                    <w:t xml:space="preserve">it can be inferred that a large proportion would be women and children. </w:t>
                  </w:r>
                  <w:hyperlink r:id="rId7" w:history="1">
                    <w:r w:rsidR="00E52858" w:rsidRPr="00E52858">
                      <w:rPr>
                        <w:rStyle w:val="Hyperlink"/>
                        <w:rFonts w:ascii="Arial" w:hAnsi="Arial" w:cs="Arial"/>
                      </w:rPr>
                      <w:t>Counting the dead in Gaza: difficult but essential - The Lancet</w:t>
                    </w:r>
                  </w:hyperlink>
                  <w:r w:rsidR="00E52858">
                    <w:rPr>
                      <w:rFonts w:ascii="Arial" w:hAnsi="Arial" w:cs="Arial"/>
                    </w:rPr>
                    <w:t xml:space="preserve">. </w:t>
                  </w:r>
                  <w:proofErr w:type="gramStart"/>
                  <w:r w:rsidR="00E52858">
                    <w:rPr>
                      <w:rFonts w:ascii="Arial" w:hAnsi="Arial" w:cs="Arial"/>
                    </w:rPr>
                    <w:t>Thus</w:t>
                  </w:r>
                  <w:proofErr w:type="gramEnd"/>
                  <w:r w:rsidR="00E52858">
                    <w:rPr>
                      <w:rFonts w:ascii="Arial" w:hAnsi="Arial" w:cs="Arial"/>
                    </w:rPr>
                    <w:t xml:space="preserve"> by extension, these companies have supplied the weapons used to kill thousands of innocent civilians including children.</w:t>
                  </w:r>
                </w:p>
                <w:p w14:paraId="1D85E768" w14:textId="32F47FAD" w:rsidR="00E52858" w:rsidRPr="003705F3" w:rsidRDefault="00E52858" w:rsidP="003705F3">
                  <w:pPr>
                    <w:pStyle w:val="ListParagraph"/>
                    <w:numPr>
                      <w:ilvl w:val="0"/>
                      <w:numId w:val="14"/>
                    </w:numPr>
                    <w:rPr>
                      <w:rFonts w:ascii="Arial" w:hAnsi="Arial" w:cs="Arial"/>
                    </w:rPr>
                  </w:pPr>
                  <w:r>
                    <w:rPr>
                      <w:rFonts w:ascii="Arial" w:hAnsi="Arial" w:cs="Arial"/>
                    </w:rPr>
                    <w:t>The ICC has issued an arrest warrant for the Prime Minister of Israel for being “a</w:t>
                  </w:r>
                  <w:r w:rsidRPr="00E52858">
                    <w:rPr>
                      <w:rFonts w:ascii="Arial" w:hAnsi="Arial" w:cs="Arial"/>
                    </w:rPr>
                    <w:t>llegedly responsible for the war crimes of starvation as a method of warfare and of intentionally directing an attack against the civilian population; and the crimes against humanity of murder, persecution, and other inhumane acts from at least 8 October 2023 until at least 20 May 2024.</w:t>
                  </w:r>
                  <w:r>
                    <w:rPr>
                      <w:rFonts w:ascii="Arial" w:hAnsi="Arial" w:cs="Arial"/>
                    </w:rPr>
                    <w:t xml:space="preserve">” </w:t>
                  </w:r>
                  <w:hyperlink r:id="rId8" w:history="1">
                    <w:r w:rsidRPr="00E52858">
                      <w:rPr>
                        <w:rStyle w:val="Hyperlink"/>
                        <w:rFonts w:ascii="Arial" w:hAnsi="Arial" w:cs="Arial"/>
                      </w:rPr>
                      <w:t>Netanyahu | International Criminal Court</w:t>
                    </w:r>
                  </w:hyperlink>
                  <w:r>
                    <w:rPr>
                      <w:rFonts w:ascii="Arial" w:hAnsi="Arial" w:cs="Arial"/>
                    </w:rPr>
                    <w:t xml:space="preserve">. </w:t>
                  </w:r>
                  <w:proofErr w:type="gramStart"/>
                  <w:r>
                    <w:rPr>
                      <w:rFonts w:ascii="Arial" w:hAnsi="Arial" w:cs="Arial"/>
                    </w:rPr>
                    <w:t>Thus</w:t>
                  </w:r>
                  <w:proofErr w:type="gramEnd"/>
                  <w:r>
                    <w:rPr>
                      <w:rFonts w:ascii="Arial" w:hAnsi="Arial" w:cs="Arial"/>
                    </w:rPr>
                    <w:t xml:space="preserve"> by extension these companies are supplying a wanted war criminal.</w:t>
                  </w:r>
                </w:p>
              </w:tc>
            </w:tr>
            <w:tr w:rsidR="00E67355" w:rsidRPr="003B54C7" w14:paraId="0E638DAF" w14:textId="77777777" w:rsidTr="006A0D6D">
              <w:trPr>
                <w:trHeight w:val="2080"/>
              </w:trPr>
              <w:tc>
                <w:tcPr>
                  <w:tcW w:w="2715" w:type="dxa"/>
                  <w:tcBorders>
                    <w:top w:val="single" w:sz="18" w:space="0" w:color="7F7F7F"/>
                    <w:left w:val="single" w:sz="18" w:space="0" w:color="7F7F7F"/>
                    <w:bottom w:val="single" w:sz="18" w:space="0" w:color="7F7F7F"/>
                    <w:right w:val="single" w:sz="18" w:space="0" w:color="7F7F7F"/>
                  </w:tcBorders>
                  <w:tcMar>
                    <w:top w:w="60" w:type="dxa"/>
                    <w:left w:w="330" w:type="dxa"/>
                    <w:bottom w:w="60" w:type="dxa"/>
                    <w:right w:w="75" w:type="dxa"/>
                  </w:tcMar>
                  <w:hideMark/>
                </w:tcPr>
                <w:p w14:paraId="0E221FA4" w14:textId="77777777" w:rsidR="00581D07" w:rsidRPr="003B54C7" w:rsidRDefault="00581D07" w:rsidP="00B8026D">
                  <w:pPr>
                    <w:spacing w:after="0" w:line="240" w:lineRule="auto"/>
                    <w:outlineLvl w:val="3"/>
                    <w:rPr>
                      <w:rFonts w:ascii="Arial" w:eastAsia="Times New Roman" w:hAnsi="Arial" w:cs="Arial"/>
                      <w:i/>
                      <w:iCs/>
                      <w:sz w:val="20"/>
                      <w:szCs w:val="20"/>
                      <w:lang w:eastAsia="en-GB"/>
                    </w:rPr>
                  </w:pPr>
                  <w:r w:rsidRPr="003B54C7">
                    <w:rPr>
                      <w:rFonts w:ascii="Arial" w:eastAsia="Times New Roman" w:hAnsi="Arial" w:cs="Arial"/>
                      <w:b/>
                      <w:bCs/>
                      <w:i/>
                      <w:iCs/>
                      <w:sz w:val="24"/>
                      <w:szCs w:val="24"/>
                      <w:lang w:eastAsia="en-GB"/>
                    </w:rPr>
                    <w:lastRenderedPageBreak/>
                    <w:t xml:space="preserve">Opinions </w:t>
                  </w:r>
                </w:p>
                <w:p w14:paraId="4E248B8D" w14:textId="253F5336" w:rsidR="00581D07" w:rsidRPr="003B54C7" w:rsidRDefault="00581D07" w:rsidP="00B8026D">
                  <w:pPr>
                    <w:spacing w:after="0" w:line="240" w:lineRule="auto"/>
                    <w:outlineLvl w:val="3"/>
                    <w:rPr>
                      <w:rFonts w:ascii="Arial" w:eastAsia="Times New Roman" w:hAnsi="Arial" w:cs="Arial"/>
                      <w:i/>
                      <w:iCs/>
                      <w:sz w:val="20"/>
                      <w:szCs w:val="20"/>
                      <w:lang w:eastAsia="en-GB"/>
                    </w:rPr>
                  </w:pPr>
                </w:p>
              </w:tc>
              <w:tc>
                <w:tcPr>
                  <w:tcW w:w="6587" w:type="dxa"/>
                  <w:tcBorders>
                    <w:top w:val="single" w:sz="18" w:space="0" w:color="7F7F7F"/>
                    <w:left w:val="single" w:sz="18" w:space="0" w:color="7F7F7F"/>
                    <w:bottom w:val="single" w:sz="18" w:space="0" w:color="7F7F7F"/>
                    <w:right w:val="single" w:sz="18" w:space="0" w:color="7F7F7F"/>
                  </w:tcBorders>
                  <w:tcMar>
                    <w:top w:w="60" w:type="dxa"/>
                    <w:left w:w="75" w:type="dxa"/>
                    <w:bottom w:w="60" w:type="dxa"/>
                    <w:right w:w="330" w:type="dxa"/>
                  </w:tcMar>
                  <w:hideMark/>
                </w:tcPr>
                <w:p w14:paraId="721C2E79" w14:textId="6D23A578" w:rsidR="003B148D" w:rsidRPr="001A3539" w:rsidRDefault="00E52858" w:rsidP="00E52858">
                  <w:pPr>
                    <w:pStyle w:val="ListParagraph"/>
                    <w:numPr>
                      <w:ilvl w:val="0"/>
                      <w:numId w:val="16"/>
                    </w:numPr>
                    <w:tabs>
                      <w:tab w:val="center" w:pos="3091"/>
                    </w:tabs>
                    <w:rPr>
                      <w:rFonts w:ascii="Arial" w:hAnsi="Arial" w:cs="Arial"/>
                    </w:rPr>
                  </w:pPr>
                  <w:r w:rsidRPr="001A3539">
                    <w:rPr>
                      <w:rFonts w:ascii="Arial" w:hAnsi="Arial" w:cs="Arial"/>
                    </w:rPr>
                    <w:t xml:space="preserve">It is not morally </w:t>
                  </w:r>
                  <w:r w:rsidR="001A3539">
                    <w:rPr>
                      <w:rFonts w:ascii="Arial" w:hAnsi="Arial" w:cs="Arial"/>
                    </w:rPr>
                    <w:t>okay</w:t>
                  </w:r>
                  <w:r w:rsidRPr="001A3539">
                    <w:rPr>
                      <w:rFonts w:ascii="Arial" w:hAnsi="Arial" w:cs="Arial"/>
                    </w:rPr>
                    <w:t xml:space="preserve"> to collaborate with </w:t>
                  </w:r>
                  <w:r w:rsidR="001A3539">
                    <w:rPr>
                      <w:rFonts w:ascii="Arial" w:hAnsi="Arial" w:cs="Arial"/>
                    </w:rPr>
                    <w:t xml:space="preserve">and promote </w:t>
                  </w:r>
                  <w:r w:rsidRPr="001A3539">
                    <w:rPr>
                      <w:rFonts w:ascii="Arial" w:hAnsi="Arial" w:cs="Arial"/>
                    </w:rPr>
                    <w:t>companies that play an active role in harming and killing other innocent people</w:t>
                  </w:r>
                  <w:r w:rsidR="001A3539">
                    <w:rPr>
                      <w:rFonts w:ascii="Arial" w:hAnsi="Arial" w:cs="Arial"/>
                    </w:rPr>
                    <w:t>, particularly when it is on the scale of a plausible genocide</w:t>
                  </w:r>
                  <w:r w:rsidRPr="001A3539">
                    <w:rPr>
                      <w:rFonts w:ascii="Arial" w:hAnsi="Arial" w:cs="Arial"/>
                    </w:rPr>
                    <w:t>.</w:t>
                  </w:r>
                </w:p>
                <w:p w14:paraId="635A5C1A" w14:textId="77777777" w:rsidR="00E52858" w:rsidRDefault="00E52858" w:rsidP="00E52858">
                  <w:pPr>
                    <w:pStyle w:val="ListParagraph"/>
                    <w:numPr>
                      <w:ilvl w:val="0"/>
                      <w:numId w:val="16"/>
                    </w:numPr>
                    <w:tabs>
                      <w:tab w:val="center" w:pos="3091"/>
                    </w:tabs>
                    <w:rPr>
                      <w:rFonts w:ascii="Arial" w:hAnsi="Arial" w:cs="Arial"/>
                    </w:rPr>
                  </w:pPr>
                  <w:r w:rsidRPr="001A3539">
                    <w:rPr>
                      <w:rFonts w:ascii="Arial" w:hAnsi="Arial" w:cs="Arial"/>
                    </w:rPr>
                    <w:t>Injustice should be actively fought against</w:t>
                  </w:r>
                  <w:r w:rsidR="001A3539" w:rsidRPr="001A3539">
                    <w:rPr>
                      <w:rFonts w:ascii="Arial" w:hAnsi="Arial" w:cs="Arial"/>
                    </w:rPr>
                    <w:t xml:space="preserve">, particularly if there are tangible links tying an organisation to that injustice, in this case the University </w:t>
                  </w:r>
                  <w:r w:rsidR="001A3539">
                    <w:rPr>
                      <w:rFonts w:ascii="Arial" w:hAnsi="Arial" w:cs="Arial"/>
                    </w:rPr>
                    <w:t>being</w:t>
                  </w:r>
                  <w:r w:rsidR="001A3539" w:rsidRPr="001A3539">
                    <w:rPr>
                      <w:rFonts w:ascii="Arial" w:hAnsi="Arial" w:cs="Arial"/>
                    </w:rPr>
                    <w:t xml:space="preserve"> tied to the killing of innocent people through these arms companies</w:t>
                  </w:r>
                  <w:r w:rsidR="001A3539">
                    <w:rPr>
                      <w:rFonts w:ascii="Arial" w:hAnsi="Arial" w:cs="Arial"/>
                    </w:rPr>
                    <w:t>.</w:t>
                  </w:r>
                </w:p>
                <w:p w14:paraId="1ACD190E" w14:textId="345E35AA" w:rsidR="001A3539" w:rsidRDefault="001A3539" w:rsidP="00E52858">
                  <w:pPr>
                    <w:pStyle w:val="ListParagraph"/>
                    <w:numPr>
                      <w:ilvl w:val="0"/>
                      <w:numId w:val="16"/>
                    </w:numPr>
                    <w:tabs>
                      <w:tab w:val="center" w:pos="3091"/>
                    </w:tabs>
                    <w:rPr>
                      <w:rFonts w:ascii="Arial" w:hAnsi="Arial" w:cs="Arial"/>
                    </w:rPr>
                  </w:pPr>
                  <w:r>
                    <w:rPr>
                      <w:rFonts w:ascii="Arial" w:hAnsi="Arial" w:cs="Arial"/>
                    </w:rPr>
                    <w:t>No matter of any political alignment, the killing of innocent people is wrong and by extension any company profiting off and facilitating the killing of innocent people is also wrong.</w:t>
                  </w:r>
                </w:p>
                <w:p w14:paraId="6B0A8A2B" w14:textId="1387B9B0" w:rsidR="001A3539" w:rsidRPr="001A3539" w:rsidRDefault="001A3539" w:rsidP="00E52858">
                  <w:pPr>
                    <w:pStyle w:val="ListParagraph"/>
                    <w:numPr>
                      <w:ilvl w:val="0"/>
                      <w:numId w:val="16"/>
                    </w:numPr>
                    <w:tabs>
                      <w:tab w:val="center" w:pos="3091"/>
                    </w:tabs>
                    <w:rPr>
                      <w:rFonts w:ascii="Arial" w:hAnsi="Arial" w:cs="Arial"/>
                    </w:rPr>
                  </w:pPr>
                  <w:r>
                    <w:rPr>
                      <w:rFonts w:ascii="Arial" w:hAnsi="Arial" w:cs="Arial"/>
                    </w:rPr>
                    <w:t>No matter individuals</w:t>
                  </w:r>
                  <w:r w:rsidR="00FE3A1D">
                    <w:rPr>
                      <w:rFonts w:ascii="Arial" w:hAnsi="Arial" w:cs="Arial"/>
                    </w:rPr>
                    <w:t>’</w:t>
                  </w:r>
                  <w:r>
                    <w:rPr>
                      <w:rFonts w:ascii="Arial" w:hAnsi="Arial" w:cs="Arial"/>
                    </w:rPr>
                    <w:t xml:space="preserve"> personal beliefs on Palestine (a key talking point of this proposal), there are several other injustices being undertaken across the world that arms companies are facilitating and profiting off</w:t>
                  </w:r>
                  <w:r w:rsidR="00FE3A1D">
                    <w:rPr>
                      <w:rFonts w:ascii="Arial" w:hAnsi="Arial" w:cs="Arial"/>
                    </w:rPr>
                    <w:t xml:space="preserve"> for example in Sudan, the DRC etc</w:t>
                  </w:r>
                  <w:r>
                    <w:rPr>
                      <w:rFonts w:ascii="Arial" w:hAnsi="Arial" w:cs="Arial"/>
                    </w:rPr>
                    <w:t>.</w:t>
                  </w:r>
                </w:p>
              </w:tc>
            </w:tr>
            <w:tr w:rsidR="00E67355" w:rsidRPr="003B54C7" w14:paraId="7F1E56B7" w14:textId="77777777" w:rsidTr="006A0D6D">
              <w:trPr>
                <w:trHeight w:val="532"/>
              </w:trPr>
              <w:tc>
                <w:tcPr>
                  <w:tcW w:w="2715" w:type="dxa"/>
                  <w:tcBorders>
                    <w:top w:val="single" w:sz="18" w:space="0" w:color="7F7F7F"/>
                    <w:left w:val="single" w:sz="18" w:space="0" w:color="7F7F7F"/>
                    <w:bottom w:val="single" w:sz="18" w:space="0" w:color="7F7F7F"/>
                    <w:right w:val="single" w:sz="18" w:space="0" w:color="7F7F7F"/>
                  </w:tcBorders>
                  <w:tcMar>
                    <w:top w:w="60" w:type="dxa"/>
                    <w:left w:w="330" w:type="dxa"/>
                    <w:bottom w:w="60" w:type="dxa"/>
                    <w:right w:w="75" w:type="dxa"/>
                  </w:tcMar>
                  <w:hideMark/>
                </w:tcPr>
                <w:p w14:paraId="1C3F2202" w14:textId="77777777" w:rsidR="00581D07" w:rsidRPr="003B54C7" w:rsidRDefault="00581D07" w:rsidP="00B8026D">
                  <w:pPr>
                    <w:spacing w:after="0" w:line="240" w:lineRule="auto"/>
                    <w:outlineLvl w:val="3"/>
                    <w:rPr>
                      <w:rFonts w:ascii="Arial" w:eastAsia="Times New Roman" w:hAnsi="Arial" w:cs="Arial"/>
                      <w:i/>
                      <w:iCs/>
                      <w:sz w:val="20"/>
                      <w:szCs w:val="20"/>
                      <w:lang w:eastAsia="en-GB"/>
                    </w:rPr>
                  </w:pPr>
                  <w:r w:rsidRPr="003B54C7">
                    <w:rPr>
                      <w:rFonts w:ascii="Arial" w:eastAsia="Times New Roman" w:hAnsi="Arial" w:cs="Arial"/>
                      <w:b/>
                      <w:bCs/>
                      <w:i/>
                      <w:iCs/>
                      <w:sz w:val="24"/>
                      <w:szCs w:val="24"/>
                      <w:lang w:eastAsia="en-GB"/>
                    </w:rPr>
                    <w:t xml:space="preserve">Actions/Outcomes </w:t>
                  </w:r>
                </w:p>
                <w:p w14:paraId="3D085961" w14:textId="09680222" w:rsidR="00581D07" w:rsidRPr="003B54C7" w:rsidRDefault="00581D07" w:rsidP="00B8026D">
                  <w:pPr>
                    <w:spacing w:after="0" w:line="240" w:lineRule="auto"/>
                    <w:outlineLvl w:val="3"/>
                    <w:rPr>
                      <w:rFonts w:ascii="Arial" w:eastAsia="Times New Roman" w:hAnsi="Arial" w:cs="Arial"/>
                      <w:i/>
                      <w:iCs/>
                      <w:sz w:val="20"/>
                      <w:szCs w:val="20"/>
                      <w:lang w:eastAsia="en-GB"/>
                    </w:rPr>
                  </w:pPr>
                </w:p>
              </w:tc>
              <w:tc>
                <w:tcPr>
                  <w:tcW w:w="6587" w:type="dxa"/>
                  <w:tcBorders>
                    <w:top w:val="single" w:sz="18" w:space="0" w:color="7F7F7F"/>
                    <w:left w:val="single" w:sz="18" w:space="0" w:color="7F7F7F"/>
                    <w:bottom w:val="single" w:sz="18" w:space="0" w:color="7F7F7F"/>
                    <w:right w:val="single" w:sz="18" w:space="0" w:color="7F7F7F"/>
                  </w:tcBorders>
                  <w:tcMar>
                    <w:top w:w="60" w:type="dxa"/>
                    <w:left w:w="75" w:type="dxa"/>
                    <w:bottom w:w="60" w:type="dxa"/>
                    <w:right w:w="330" w:type="dxa"/>
                  </w:tcMar>
                  <w:hideMark/>
                </w:tcPr>
                <w:p w14:paraId="564B4583" w14:textId="7C4D710F" w:rsidR="00334B9F" w:rsidRDefault="00C50DDB" w:rsidP="004852DF">
                  <w:pPr>
                    <w:pStyle w:val="ListParagraph"/>
                    <w:numPr>
                      <w:ilvl w:val="0"/>
                      <w:numId w:val="13"/>
                    </w:numPr>
                    <w:rPr>
                      <w:rFonts w:ascii="Arial" w:hAnsi="Arial" w:cs="Arial"/>
                    </w:rPr>
                  </w:pPr>
                  <w:r w:rsidRPr="004852DF">
                    <w:rPr>
                      <w:rFonts w:ascii="Arial" w:hAnsi="Arial" w:cs="Arial"/>
                    </w:rPr>
                    <w:t>The</w:t>
                  </w:r>
                  <w:r w:rsidR="004852DF">
                    <w:rPr>
                      <w:rFonts w:ascii="Arial" w:hAnsi="Arial" w:cs="Arial"/>
                    </w:rPr>
                    <w:t xml:space="preserve"> Students’ Union to issue a statement that condemns the University’s continued work, and promotion of companies producing armaments. This statement should highlight those companies found to be supporting what </w:t>
                  </w:r>
                  <w:r w:rsidR="001A3539">
                    <w:rPr>
                      <w:rFonts w:ascii="Arial" w:hAnsi="Arial" w:cs="Arial"/>
                    </w:rPr>
                    <w:t>has</w:t>
                  </w:r>
                  <w:r w:rsidR="004852DF">
                    <w:rPr>
                      <w:rFonts w:ascii="Arial" w:hAnsi="Arial" w:cs="Arial"/>
                    </w:rPr>
                    <w:t xml:space="preserve"> been ruled a plausible genocide.</w:t>
                  </w:r>
                  <w:r w:rsidR="00004BDC">
                    <w:rPr>
                      <w:rFonts w:ascii="Arial" w:hAnsi="Arial" w:cs="Arial"/>
                    </w:rPr>
                    <w:t xml:space="preserve"> This statement should urge the university to ban arms companies from careers fairs</w:t>
                  </w:r>
                  <w:r w:rsidR="001A3539">
                    <w:rPr>
                      <w:rFonts w:ascii="Arial" w:hAnsi="Arial" w:cs="Arial"/>
                    </w:rPr>
                    <w:t xml:space="preserve"> and events</w:t>
                  </w:r>
                  <w:r w:rsidR="00004BDC">
                    <w:rPr>
                      <w:rFonts w:ascii="Arial" w:hAnsi="Arial" w:cs="Arial"/>
                    </w:rPr>
                    <w:t xml:space="preserve">, </w:t>
                  </w:r>
                  <w:r w:rsidR="001A3539">
                    <w:rPr>
                      <w:rFonts w:ascii="Arial" w:hAnsi="Arial" w:cs="Arial"/>
                    </w:rPr>
                    <w:t xml:space="preserve">to </w:t>
                  </w:r>
                  <w:r w:rsidR="00562CEC">
                    <w:rPr>
                      <w:rFonts w:ascii="Arial" w:hAnsi="Arial" w:cs="Arial"/>
                    </w:rPr>
                    <w:t xml:space="preserve">disallow </w:t>
                  </w:r>
                  <w:r w:rsidR="001A3539">
                    <w:rPr>
                      <w:rFonts w:ascii="Arial" w:hAnsi="Arial" w:cs="Arial"/>
                    </w:rPr>
                    <w:t>staff to promote these companies when acting as a representative for the University and</w:t>
                  </w:r>
                  <w:r w:rsidR="00004BDC">
                    <w:rPr>
                      <w:rFonts w:ascii="Arial" w:hAnsi="Arial" w:cs="Arial"/>
                    </w:rPr>
                    <w:t xml:space="preserve"> to commit to cutting all research and enterprise relationships</w:t>
                  </w:r>
                  <w:r w:rsidR="00711FB7">
                    <w:rPr>
                      <w:rFonts w:ascii="Arial" w:hAnsi="Arial" w:cs="Arial"/>
                    </w:rPr>
                    <w:t xml:space="preserve"> with companies involved in the arms trade upon the end of those contracts.</w:t>
                  </w:r>
                  <w:r w:rsidR="00343969">
                    <w:rPr>
                      <w:rFonts w:ascii="Arial" w:hAnsi="Arial" w:cs="Arial"/>
                    </w:rPr>
                    <w:t xml:space="preserve"> It should be highlighted that the continued work being undertaken with arms companies has had a substantial effect on the University of Leicester’s reputation, with several articles on reputable news sites being published online.</w:t>
                  </w:r>
                </w:p>
                <w:p w14:paraId="7ADFA4CE" w14:textId="26A2F0EC" w:rsidR="004852DF" w:rsidRDefault="004852DF" w:rsidP="004852DF">
                  <w:pPr>
                    <w:pStyle w:val="ListParagraph"/>
                    <w:numPr>
                      <w:ilvl w:val="0"/>
                      <w:numId w:val="13"/>
                    </w:numPr>
                    <w:rPr>
                      <w:rFonts w:ascii="Arial" w:hAnsi="Arial" w:cs="Arial"/>
                    </w:rPr>
                  </w:pPr>
                  <w:r>
                    <w:rPr>
                      <w:rFonts w:ascii="Arial" w:hAnsi="Arial" w:cs="Arial"/>
                    </w:rPr>
                    <w:t xml:space="preserve">The Students’ Union should </w:t>
                  </w:r>
                  <w:r w:rsidR="00004BDC">
                    <w:rPr>
                      <w:rFonts w:ascii="Arial" w:hAnsi="Arial" w:cs="Arial"/>
                    </w:rPr>
                    <w:t>organise regular meetings to talk with upper management and the careers department on this issue to voice student’s concerns.</w:t>
                  </w:r>
                  <w:r w:rsidR="001A3539">
                    <w:rPr>
                      <w:rFonts w:ascii="Arial" w:hAnsi="Arial" w:cs="Arial"/>
                    </w:rPr>
                    <w:t xml:space="preserve"> These meetings should also be used to defend students’ rights to protest against this.</w:t>
                  </w:r>
                </w:p>
                <w:p w14:paraId="0EF7C786" w14:textId="7818DB9D" w:rsidR="003B54C7" w:rsidRPr="007A033B" w:rsidRDefault="00FE3A1D" w:rsidP="00C01AD6">
                  <w:pPr>
                    <w:pStyle w:val="ListParagraph"/>
                    <w:numPr>
                      <w:ilvl w:val="0"/>
                      <w:numId w:val="13"/>
                    </w:numPr>
                    <w:rPr>
                      <w:rFonts w:ascii="Arial" w:hAnsi="Arial" w:cs="Arial"/>
                      <w:sz w:val="24"/>
                      <w:szCs w:val="24"/>
                    </w:rPr>
                  </w:pPr>
                  <w:r w:rsidRPr="007A033B">
                    <w:rPr>
                      <w:rFonts w:ascii="Arial" w:hAnsi="Arial" w:cs="Arial"/>
                    </w:rPr>
                    <w:t>To</w:t>
                  </w:r>
                  <w:r w:rsidR="00004BDC" w:rsidRPr="007A033B">
                    <w:rPr>
                      <w:rFonts w:ascii="Arial" w:hAnsi="Arial" w:cs="Arial"/>
                    </w:rPr>
                    <w:t xml:space="preserve"> pressure the University to change, the Students’ Union should refuse to work with the careers department for any future events or the University on any unnecessary events until actions are implemented to ban these companies</w:t>
                  </w:r>
                  <w:r w:rsidR="00711FB7" w:rsidRPr="007A033B">
                    <w:rPr>
                      <w:rFonts w:ascii="Arial" w:hAnsi="Arial" w:cs="Arial"/>
                    </w:rPr>
                    <w:t xml:space="preserve"> from campus and to cut research contracts with these companies in due time.</w:t>
                  </w:r>
                  <w:r w:rsidR="001A3539" w:rsidRPr="007A033B">
                    <w:rPr>
                      <w:rFonts w:ascii="Arial" w:hAnsi="Arial" w:cs="Arial"/>
                    </w:rPr>
                    <w:t xml:space="preserve"> This could involve not using and SU staff hours on these events, and </w:t>
                  </w:r>
                  <w:r w:rsidRPr="007A033B">
                    <w:rPr>
                      <w:rFonts w:ascii="Arial" w:hAnsi="Arial" w:cs="Arial"/>
                    </w:rPr>
                    <w:t>if possible, not allowing these events to go ahead inside the Students’ Union building.</w:t>
                  </w:r>
                </w:p>
                <w:p w14:paraId="271581B9" w14:textId="43A24B91" w:rsidR="00334B9F" w:rsidRPr="003B54C7" w:rsidRDefault="00334B9F" w:rsidP="006E3231">
                  <w:pPr>
                    <w:pStyle w:val="ListParagraph"/>
                    <w:rPr>
                      <w:rFonts w:ascii="Arial" w:hAnsi="Arial" w:cs="Arial"/>
                      <w:sz w:val="24"/>
                      <w:szCs w:val="24"/>
                    </w:rPr>
                  </w:pPr>
                </w:p>
              </w:tc>
            </w:tr>
          </w:tbl>
          <w:p w14:paraId="49F1B9BE" w14:textId="77777777" w:rsidR="00581D07" w:rsidRPr="003B54C7" w:rsidRDefault="00581D07" w:rsidP="00B8026D">
            <w:pPr>
              <w:spacing w:after="0" w:line="240" w:lineRule="auto"/>
              <w:rPr>
                <w:rFonts w:ascii="Arial" w:eastAsia="Times New Roman" w:hAnsi="Arial" w:cs="Arial"/>
                <w:sz w:val="20"/>
                <w:szCs w:val="20"/>
                <w:lang w:eastAsia="en-GB"/>
              </w:rPr>
            </w:pPr>
          </w:p>
        </w:tc>
      </w:tr>
    </w:tbl>
    <w:p w14:paraId="23F82366" w14:textId="77777777" w:rsidR="00334B9F" w:rsidRPr="00334B9F" w:rsidRDefault="00334B9F" w:rsidP="00334B9F">
      <w:pPr>
        <w:rPr>
          <w:sz w:val="24"/>
          <w:szCs w:val="24"/>
        </w:rPr>
      </w:pPr>
    </w:p>
    <w:sectPr w:rsidR="00334B9F" w:rsidRPr="00334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238B"/>
    <w:multiLevelType w:val="hybridMultilevel"/>
    <w:tmpl w:val="A6467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23058"/>
    <w:multiLevelType w:val="hybridMultilevel"/>
    <w:tmpl w:val="88E40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D2A36"/>
    <w:multiLevelType w:val="multilevel"/>
    <w:tmpl w:val="0E7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41AF1"/>
    <w:multiLevelType w:val="hybridMultilevel"/>
    <w:tmpl w:val="100A9E90"/>
    <w:lvl w:ilvl="0" w:tplc="61BA7EA6">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9771E7"/>
    <w:multiLevelType w:val="hybridMultilevel"/>
    <w:tmpl w:val="D3BA3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91FAA"/>
    <w:multiLevelType w:val="hybridMultilevel"/>
    <w:tmpl w:val="392E22A2"/>
    <w:lvl w:ilvl="0" w:tplc="5CC2189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D73C7"/>
    <w:multiLevelType w:val="hybridMultilevel"/>
    <w:tmpl w:val="C43A6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8F47AB"/>
    <w:multiLevelType w:val="hybridMultilevel"/>
    <w:tmpl w:val="55F06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8C45E0"/>
    <w:multiLevelType w:val="hybridMultilevel"/>
    <w:tmpl w:val="CC22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A5674"/>
    <w:multiLevelType w:val="hybridMultilevel"/>
    <w:tmpl w:val="B3961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A0D9E"/>
    <w:multiLevelType w:val="hybridMultilevel"/>
    <w:tmpl w:val="4F6AE5B8"/>
    <w:lvl w:ilvl="0" w:tplc="151C1314">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D6172"/>
    <w:multiLevelType w:val="hybridMultilevel"/>
    <w:tmpl w:val="26607AF0"/>
    <w:lvl w:ilvl="0" w:tplc="C5CCAA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F6867C4"/>
    <w:multiLevelType w:val="multilevel"/>
    <w:tmpl w:val="C56690F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CE683F"/>
    <w:multiLevelType w:val="multilevel"/>
    <w:tmpl w:val="20DA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BA03DD"/>
    <w:multiLevelType w:val="hybridMultilevel"/>
    <w:tmpl w:val="55FCFEEE"/>
    <w:lvl w:ilvl="0" w:tplc="1E7AB2AE">
      <w:start w:val="45"/>
      <w:numFmt w:val="bullet"/>
      <w:lvlText w:val=""/>
      <w:lvlJc w:val="left"/>
      <w:pPr>
        <w:ind w:left="1440" w:hanging="360"/>
      </w:pPr>
      <w:rPr>
        <w:rFonts w:ascii="Wingdings" w:eastAsiaTheme="minorHAnsi" w:hAnsi="Wingding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5EC2318"/>
    <w:multiLevelType w:val="hybridMultilevel"/>
    <w:tmpl w:val="028E671C"/>
    <w:lvl w:ilvl="0" w:tplc="AEFC78B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3"/>
  </w:num>
  <w:num w:numId="2">
    <w:abstractNumId w:val="8"/>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3"/>
  </w:num>
  <w:num w:numId="8">
    <w:abstractNumId w:val="5"/>
  </w:num>
  <w:num w:numId="9">
    <w:abstractNumId w:val="2"/>
  </w:num>
  <w:num w:numId="10">
    <w:abstractNumId w:val="11"/>
  </w:num>
  <w:num w:numId="11">
    <w:abstractNumId w:val="0"/>
  </w:num>
  <w:num w:numId="12">
    <w:abstractNumId w:val="14"/>
  </w:num>
  <w:num w:numId="13">
    <w:abstractNumId w:val="9"/>
  </w:num>
  <w:num w:numId="14">
    <w:abstractNumId w:val="6"/>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D07"/>
    <w:rsid w:val="000041BB"/>
    <w:rsid w:val="00004BDC"/>
    <w:rsid w:val="000E74D8"/>
    <w:rsid w:val="001077CC"/>
    <w:rsid w:val="00122694"/>
    <w:rsid w:val="00187EA6"/>
    <w:rsid w:val="001A3539"/>
    <w:rsid w:val="001D1F3D"/>
    <w:rsid w:val="002675E0"/>
    <w:rsid w:val="00334B9F"/>
    <w:rsid w:val="00343969"/>
    <w:rsid w:val="003651FA"/>
    <w:rsid w:val="003705F3"/>
    <w:rsid w:val="003B148D"/>
    <w:rsid w:val="003B54C7"/>
    <w:rsid w:val="00446145"/>
    <w:rsid w:val="004852DF"/>
    <w:rsid w:val="004951EB"/>
    <w:rsid w:val="0052375F"/>
    <w:rsid w:val="00557839"/>
    <w:rsid w:val="00562CEC"/>
    <w:rsid w:val="005752F4"/>
    <w:rsid w:val="00581D07"/>
    <w:rsid w:val="005D277B"/>
    <w:rsid w:val="00625459"/>
    <w:rsid w:val="00626346"/>
    <w:rsid w:val="006A0D6D"/>
    <w:rsid w:val="006C5D72"/>
    <w:rsid w:val="006E3231"/>
    <w:rsid w:val="00711FB7"/>
    <w:rsid w:val="00776A58"/>
    <w:rsid w:val="0078382C"/>
    <w:rsid w:val="007A033B"/>
    <w:rsid w:val="007A08B3"/>
    <w:rsid w:val="007F1F25"/>
    <w:rsid w:val="008E6B06"/>
    <w:rsid w:val="0090293F"/>
    <w:rsid w:val="00A93196"/>
    <w:rsid w:val="00AD4493"/>
    <w:rsid w:val="00AF442B"/>
    <w:rsid w:val="00B018C6"/>
    <w:rsid w:val="00C50DDB"/>
    <w:rsid w:val="00CB3027"/>
    <w:rsid w:val="00D842AB"/>
    <w:rsid w:val="00E52858"/>
    <w:rsid w:val="00E57FFB"/>
    <w:rsid w:val="00E67355"/>
    <w:rsid w:val="00F3198C"/>
    <w:rsid w:val="00F8564A"/>
    <w:rsid w:val="00F96100"/>
    <w:rsid w:val="00FE3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0537"/>
  <w15:chartTrackingRefBased/>
  <w15:docId w15:val="{21225A1F-6E4C-41D1-95A3-22E89248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D07"/>
    <w:pPr>
      <w:ind w:left="720"/>
      <w:contextualSpacing/>
    </w:pPr>
  </w:style>
  <w:style w:type="character" w:customStyle="1" w:styleId="ilfuvd">
    <w:name w:val="ilfuvd"/>
    <w:basedOn w:val="DefaultParagraphFont"/>
    <w:rsid w:val="00581D07"/>
  </w:style>
  <w:style w:type="character" w:styleId="Hyperlink">
    <w:name w:val="Hyperlink"/>
    <w:basedOn w:val="DefaultParagraphFont"/>
    <w:uiPriority w:val="99"/>
    <w:unhideWhenUsed/>
    <w:rsid w:val="00AD4493"/>
    <w:rPr>
      <w:color w:val="0000FF"/>
      <w:u w:val="single"/>
    </w:rPr>
  </w:style>
  <w:style w:type="character" w:customStyle="1" w:styleId="UnresolvedMention1">
    <w:name w:val="Unresolved Mention1"/>
    <w:basedOn w:val="DefaultParagraphFont"/>
    <w:uiPriority w:val="99"/>
    <w:semiHidden/>
    <w:unhideWhenUsed/>
    <w:rsid w:val="00CB3027"/>
    <w:rPr>
      <w:color w:val="605E5C"/>
      <w:shd w:val="clear" w:color="auto" w:fill="E1DFDD"/>
    </w:rPr>
  </w:style>
  <w:style w:type="character" w:styleId="FollowedHyperlink">
    <w:name w:val="FollowedHyperlink"/>
    <w:basedOn w:val="DefaultParagraphFont"/>
    <w:uiPriority w:val="99"/>
    <w:semiHidden/>
    <w:unhideWhenUsed/>
    <w:rsid w:val="005D277B"/>
    <w:rPr>
      <w:color w:val="954F72" w:themeColor="followedHyperlink"/>
      <w:u w:val="single"/>
    </w:rPr>
  </w:style>
  <w:style w:type="paragraph" w:styleId="BalloonText">
    <w:name w:val="Balloon Text"/>
    <w:basedOn w:val="Normal"/>
    <w:link w:val="BalloonTextChar"/>
    <w:uiPriority w:val="99"/>
    <w:semiHidden/>
    <w:unhideWhenUsed/>
    <w:rsid w:val="007A0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8B3"/>
    <w:rPr>
      <w:rFonts w:ascii="Segoe UI" w:hAnsi="Segoe UI" w:cs="Segoe UI"/>
      <w:sz w:val="18"/>
      <w:szCs w:val="18"/>
    </w:rPr>
  </w:style>
  <w:style w:type="character" w:styleId="UnresolvedMention">
    <w:name w:val="Unresolved Mention"/>
    <w:basedOn w:val="DefaultParagraphFont"/>
    <w:uiPriority w:val="99"/>
    <w:semiHidden/>
    <w:unhideWhenUsed/>
    <w:rsid w:val="00267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4685">
      <w:bodyDiv w:val="1"/>
      <w:marLeft w:val="0"/>
      <w:marRight w:val="0"/>
      <w:marTop w:val="0"/>
      <w:marBottom w:val="0"/>
      <w:divBdr>
        <w:top w:val="none" w:sz="0" w:space="0" w:color="auto"/>
        <w:left w:val="none" w:sz="0" w:space="0" w:color="auto"/>
        <w:bottom w:val="none" w:sz="0" w:space="0" w:color="auto"/>
        <w:right w:val="none" w:sz="0" w:space="0" w:color="auto"/>
      </w:divBdr>
    </w:div>
    <w:div w:id="170536254">
      <w:bodyDiv w:val="1"/>
      <w:marLeft w:val="0"/>
      <w:marRight w:val="0"/>
      <w:marTop w:val="0"/>
      <w:marBottom w:val="0"/>
      <w:divBdr>
        <w:top w:val="none" w:sz="0" w:space="0" w:color="auto"/>
        <w:left w:val="none" w:sz="0" w:space="0" w:color="auto"/>
        <w:bottom w:val="none" w:sz="0" w:space="0" w:color="auto"/>
        <w:right w:val="none" w:sz="0" w:space="0" w:color="auto"/>
      </w:divBdr>
    </w:div>
    <w:div w:id="408886137">
      <w:bodyDiv w:val="1"/>
      <w:marLeft w:val="0"/>
      <w:marRight w:val="0"/>
      <w:marTop w:val="0"/>
      <w:marBottom w:val="0"/>
      <w:divBdr>
        <w:top w:val="none" w:sz="0" w:space="0" w:color="auto"/>
        <w:left w:val="none" w:sz="0" w:space="0" w:color="auto"/>
        <w:bottom w:val="none" w:sz="0" w:space="0" w:color="auto"/>
        <w:right w:val="none" w:sz="0" w:space="0" w:color="auto"/>
      </w:divBdr>
    </w:div>
    <w:div w:id="531652251">
      <w:bodyDiv w:val="1"/>
      <w:marLeft w:val="0"/>
      <w:marRight w:val="0"/>
      <w:marTop w:val="0"/>
      <w:marBottom w:val="0"/>
      <w:divBdr>
        <w:top w:val="none" w:sz="0" w:space="0" w:color="auto"/>
        <w:left w:val="none" w:sz="0" w:space="0" w:color="auto"/>
        <w:bottom w:val="none" w:sz="0" w:space="0" w:color="auto"/>
        <w:right w:val="none" w:sz="0" w:space="0" w:color="auto"/>
      </w:divBdr>
    </w:div>
    <w:div w:id="605500979">
      <w:bodyDiv w:val="1"/>
      <w:marLeft w:val="0"/>
      <w:marRight w:val="0"/>
      <w:marTop w:val="0"/>
      <w:marBottom w:val="0"/>
      <w:divBdr>
        <w:top w:val="none" w:sz="0" w:space="0" w:color="auto"/>
        <w:left w:val="none" w:sz="0" w:space="0" w:color="auto"/>
        <w:bottom w:val="none" w:sz="0" w:space="0" w:color="auto"/>
        <w:right w:val="none" w:sz="0" w:space="0" w:color="auto"/>
      </w:divBdr>
    </w:div>
    <w:div w:id="851650433">
      <w:bodyDiv w:val="1"/>
      <w:marLeft w:val="0"/>
      <w:marRight w:val="0"/>
      <w:marTop w:val="0"/>
      <w:marBottom w:val="0"/>
      <w:divBdr>
        <w:top w:val="none" w:sz="0" w:space="0" w:color="auto"/>
        <w:left w:val="none" w:sz="0" w:space="0" w:color="auto"/>
        <w:bottom w:val="none" w:sz="0" w:space="0" w:color="auto"/>
        <w:right w:val="none" w:sz="0" w:space="0" w:color="auto"/>
      </w:divBdr>
    </w:div>
    <w:div w:id="1111895733">
      <w:bodyDiv w:val="1"/>
      <w:marLeft w:val="0"/>
      <w:marRight w:val="0"/>
      <w:marTop w:val="0"/>
      <w:marBottom w:val="0"/>
      <w:divBdr>
        <w:top w:val="none" w:sz="0" w:space="0" w:color="auto"/>
        <w:left w:val="none" w:sz="0" w:space="0" w:color="auto"/>
        <w:bottom w:val="none" w:sz="0" w:space="0" w:color="auto"/>
        <w:right w:val="none" w:sz="0" w:space="0" w:color="auto"/>
      </w:divBdr>
    </w:div>
    <w:div w:id="1215577528">
      <w:bodyDiv w:val="1"/>
      <w:marLeft w:val="0"/>
      <w:marRight w:val="0"/>
      <w:marTop w:val="0"/>
      <w:marBottom w:val="0"/>
      <w:divBdr>
        <w:top w:val="none" w:sz="0" w:space="0" w:color="auto"/>
        <w:left w:val="none" w:sz="0" w:space="0" w:color="auto"/>
        <w:bottom w:val="none" w:sz="0" w:space="0" w:color="auto"/>
        <w:right w:val="none" w:sz="0" w:space="0" w:color="auto"/>
      </w:divBdr>
    </w:div>
    <w:div w:id="1306659437">
      <w:bodyDiv w:val="1"/>
      <w:marLeft w:val="0"/>
      <w:marRight w:val="0"/>
      <w:marTop w:val="0"/>
      <w:marBottom w:val="0"/>
      <w:divBdr>
        <w:top w:val="none" w:sz="0" w:space="0" w:color="auto"/>
        <w:left w:val="none" w:sz="0" w:space="0" w:color="auto"/>
        <w:bottom w:val="none" w:sz="0" w:space="0" w:color="auto"/>
        <w:right w:val="none" w:sz="0" w:space="0" w:color="auto"/>
      </w:divBdr>
    </w:div>
    <w:div w:id="1351881465">
      <w:bodyDiv w:val="1"/>
      <w:marLeft w:val="0"/>
      <w:marRight w:val="0"/>
      <w:marTop w:val="0"/>
      <w:marBottom w:val="0"/>
      <w:divBdr>
        <w:top w:val="none" w:sz="0" w:space="0" w:color="auto"/>
        <w:left w:val="none" w:sz="0" w:space="0" w:color="auto"/>
        <w:bottom w:val="none" w:sz="0" w:space="0" w:color="auto"/>
        <w:right w:val="none" w:sz="0" w:space="0" w:color="auto"/>
      </w:divBdr>
    </w:div>
    <w:div w:id="1364746557">
      <w:bodyDiv w:val="1"/>
      <w:marLeft w:val="0"/>
      <w:marRight w:val="0"/>
      <w:marTop w:val="0"/>
      <w:marBottom w:val="0"/>
      <w:divBdr>
        <w:top w:val="none" w:sz="0" w:space="0" w:color="auto"/>
        <w:left w:val="none" w:sz="0" w:space="0" w:color="auto"/>
        <w:bottom w:val="none" w:sz="0" w:space="0" w:color="auto"/>
        <w:right w:val="none" w:sz="0" w:space="0" w:color="auto"/>
      </w:divBdr>
    </w:div>
    <w:div w:id="1407454269">
      <w:bodyDiv w:val="1"/>
      <w:marLeft w:val="0"/>
      <w:marRight w:val="0"/>
      <w:marTop w:val="0"/>
      <w:marBottom w:val="0"/>
      <w:divBdr>
        <w:top w:val="none" w:sz="0" w:space="0" w:color="auto"/>
        <w:left w:val="none" w:sz="0" w:space="0" w:color="auto"/>
        <w:bottom w:val="none" w:sz="0" w:space="0" w:color="auto"/>
        <w:right w:val="none" w:sz="0" w:space="0" w:color="auto"/>
      </w:divBdr>
    </w:div>
    <w:div w:id="1563172824">
      <w:bodyDiv w:val="1"/>
      <w:marLeft w:val="0"/>
      <w:marRight w:val="0"/>
      <w:marTop w:val="0"/>
      <w:marBottom w:val="0"/>
      <w:divBdr>
        <w:top w:val="none" w:sz="0" w:space="0" w:color="auto"/>
        <w:left w:val="none" w:sz="0" w:space="0" w:color="auto"/>
        <w:bottom w:val="none" w:sz="0" w:space="0" w:color="auto"/>
        <w:right w:val="none" w:sz="0" w:space="0" w:color="auto"/>
      </w:divBdr>
    </w:div>
    <w:div w:id="1614825180">
      <w:bodyDiv w:val="1"/>
      <w:marLeft w:val="0"/>
      <w:marRight w:val="0"/>
      <w:marTop w:val="0"/>
      <w:marBottom w:val="0"/>
      <w:divBdr>
        <w:top w:val="none" w:sz="0" w:space="0" w:color="auto"/>
        <w:left w:val="none" w:sz="0" w:space="0" w:color="auto"/>
        <w:bottom w:val="none" w:sz="0" w:space="0" w:color="auto"/>
        <w:right w:val="none" w:sz="0" w:space="0" w:color="auto"/>
      </w:divBdr>
    </w:div>
    <w:div w:id="1931234208">
      <w:bodyDiv w:val="1"/>
      <w:marLeft w:val="0"/>
      <w:marRight w:val="0"/>
      <w:marTop w:val="0"/>
      <w:marBottom w:val="0"/>
      <w:divBdr>
        <w:top w:val="none" w:sz="0" w:space="0" w:color="auto"/>
        <w:left w:val="none" w:sz="0" w:space="0" w:color="auto"/>
        <w:bottom w:val="none" w:sz="0" w:space="0" w:color="auto"/>
        <w:right w:val="none" w:sz="0" w:space="0" w:color="auto"/>
      </w:divBdr>
    </w:div>
    <w:div w:id="20478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cpi.int/defendant/netanyahu" TargetMode="External"/><Relationship Id="rId3" Type="http://schemas.openxmlformats.org/officeDocument/2006/relationships/settings" Target="settings.xml"/><Relationship Id="rId7" Type="http://schemas.openxmlformats.org/officeDocument/2006/relationships/hyperlink" Target="https://www.thelancet.com/journals/lancet/article/PIIS0140-6736(24)01169-3/full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en/press-releases/2024/01/gaza-icj-ruling-offers-hope-protection-civilians-enduring-apocalyptic" TargetMode="External"/><Relationship Id="rId5" Type="http://schemas.openxmlformats.org/officeDocument/2006/relationships/hyperlink" Target="https://caat.org.uk/data/countries/israel/mapped-all-the-uk-companies-manufacturing-components-for-israels-f35-combat-aircraf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Ian R.</dc:creator>
  <cp:keywords/>
  <dc:description/>
  <cp:lastModifiedBy>Oliver, Chloe</cp:lastModifiedBy>
  <cp:revision>3</cp:revision>
  <cp:lastPrinted>2020-01-28T14:19:00Z</cp:lastPrinted>
  <dcterms:created xsi:type="dcterms:W3CDTF">2025-04-10T09:33:00Z</dcterms:created>
  <dcterms:modified xsi:type="dcterms:W3CDTF">2025-11-04T13:56:00Z</dcterms:modified>
</cp:coreProperties>
</file>